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Dopisem ze dne 19. 6. 2014 požádala společnost SUDOP BRNO, spol. s r. o., se sídlem Brno,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Kounicova 26, která na základě plné moci zastupuje Správu železniční dopravní cesty, státní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organizaci, se sídlem Praha 1 – Nové Město, Dlážděná 1300/7, o prodej části pozemku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 xml:space="preserve">PK p. č. 3718/1 v k. </w:t>
      </w:r>
      <w:proofErr w:type="spellStart"/>
      <w:r>
        <w:rPr>
          <w:rFonts w:ascii="TimesNewRoman" w:eastAsiaTheme="minorHAnsi" w:hAnsi="TimesNewRoman" w:cs="TimesNewRoman"/>
          <w:sz w:val="24"/>
          <w:szCs w:val="24"/>
        </w:rPr>
        <w:t>ú.</w:t>
      </w:r>
      <w:proofErr w:type="spellEnd"/>
      <w:r>
        <w:rPr>
          <w:rFonts w:ascii="TimesNewRoman" w:eastAsiaTheme="minorHAnsi" w:hAnsi="TimesNewRoman" w:cs="TimesNewRoman"/>
          <w:sz w:val="24"/>
          <w:szCs w:val="24"/>
        </w:rPr>
        <w:t xml:space="preserve"> Břeclav o výměře cca 188 m</w:t>
      </w:r>
      <w:r>
        <w:rPr>
          <w:rFonts w:ascii="TimesNewRoman" w:eastAsiaTheme="minorHAnsi" w:hAnsi="TimesNewRoman" w:cs="TimesNewRoman"/>
          <w:sz w:val="16"/>
          <w:szCs w:val="16"/>
        </w:rPr>
        <w:t>2</w:t>
      </w:r>
      <w:r>
        <w:rPr>
          <w:rFonts w:ascii="TimesNewRoman" w:eastAsiaTheme="minorHAnsi" w:hAnsi="TimesNewRoman" w:cs="TimesNewRoman"/>
          <w:sz w:val="24"/>
          <w:szCs w:val="24"/>
        </w:rPr>
        <w:t>.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Jedná se o pozemek, který se nachází podél železniční trati směr Břeclav – Brno/Přerov,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v blízkosti areálu společnosti OTIS a. s. Na požadované části pozemku je realizována stavba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„Rekonstrukce železničního uzlu Břeclav, 2. stavba“, jejímž investorem je Správa železniční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dopravní cesty, státní organizace. Předpokládané dokončení stavby je prosinec 2014.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K předmětné stavbě se investorovi vyjadřoval odbor rozvoje a správy, ve svém stanovisku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čj. MUBR 2775/2012 ORS ze dne 2. 2. 2012, mj. uváděl: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Stavba navazuje na již realizovanou stavbu „Rekonstrukce železničního uzlu Břeclav,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1. stavba“. Stavební činnost bude probíhat na pozemcích dráhy, a tedy v ochranném pásmu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dráhy. Stavební činností jsou dotčeny pouze objekty pro provoz dráhy, stavba se nedotýká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objektů pro veřejnost – do obvodu stavby nebude povolen vstup veřejnosti, jedná se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o vyhrazený prostor dráhy.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Realizací stavby dojde ke zkvalitnění železniční dopravy a jejího zabezpečení. Plánovaná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stavba se nachází na ploše, která je platným územním plánem definována jako plocha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dopravní obsluhy a s tím je i spojena možnost stavebních rekonstrukcí za účelem údržby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železničních staveb. Město Břeclav, zastoupené odborem rozvoje a správy Městského úřadu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Břeclav, ve věci vlastnictví a správy místních komunikací a veřejných prostranství, nemá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námitek k realizaci stavby. Navrhovaná stavba bude probíhat na pozemcích v ochranném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pásmu dráhy a při její realizaci nedojde k dotčení místních komunikací z hlediska našich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zájmů.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Odbor rozvoje a správy souhlasí s vydáním stavebního povolení a s realizací stavby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„Rekonstrukce železničního uzlu Břeclav, 2. stavba“. Uvádí rovněž, že prodej pozemku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je možný.</w:t>
      </w:r>
    </w:p>
    <w:p w:rsidR="00DD3B11" w:rsidRDefault="00DD3B11" w:rsidP="00DD3B11">
      <w:pPr>
        <w:autoSpaceDE w:val="0"/>
        <w:autoSpaceDN w:val="0"/>
        <w:adjustRightInd w:val="0"/>
        <w:spacing w:after="0" w:line="240" w:lineRule="auto"/>
        <w:rPr>
          <w:rFonts w:ascii="TimesNewRoman" w:eastAsiaTheme="minorHAnsi" w:hAnsi="TimesNewRoman" w:cs="TimesNewRoman"/>
          <w:sz w:val="24"/>
          <w:szCs w:val="24"/>
        </w:rPr>
      </w:pPr>
      <w:r>
        <w:rPr>
          <w:rFonts w:ascii="TimesNewRoman" w:eastAsiaTheme="minorHAnsi" w:hAnsi="TimesNewRoman" w:cs="TimesNewRoman"/>
          <w:sz w:val="24"/>
          <w:szCs w:val="24"/>
        </w:rPr>
        <w:t>Podle údajů z katastru nemovitostí neváznou na pozemku žádná věcná břemena, zástavní</w:t>
      </w:r>
    </w:p>
    <w:p w:rsidR="000C09E6" w:rsidRPr="00DD3B11" w:rsidRDefault="00DD3B11" w:rsidP="00DD3B11">
      <w:r>
        <w:rPr>
          <w:rFonts w:ascii="TimesNewRoman" w:eastAsiaTheme="minorHAnsi" w:hAnsi="TimesNewRoman" w:cs="TimesNewRoman"/>
          <w:sz w:val="24"/>
          <w:szCs w:val="24"/>
        </w:rPr>
        <w:t>práva ani jiná práva omezující právo vlastníka.</w:t>
      </w:r>
      <w:bookmarkStart w:id="0" w:name="_GoBack"/>
      <w:bookmarkEnd w:id="0"/>
    </w:p>
    <w:sectPr w:rsidR="000C09E6" w:rsidRPr="00DD3B11">
      <w:pgSz w:w="11906" w:h="16838"/>
      <w:pgMar w:top="426" w:right="128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7A49B0"/>
    <w:multiLevelType w:val="hybridMultilevel"/>
    <w:tmpl w:val="0556F906"/>
    <w:lvl w:ilvl="0" w:tplc="A2484F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6945937"/>
    <w:multiLevelType w:val="hybridMultilevel"/>
    <w:tmpl w:val="EB90A9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1D58E8"/>
    <w:multiLevelType w:val="hybridMultilevel"/>
    <w:tmpl w:val="239A2B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BFC"/>
    <w:rsid w:val="00087258"/>
    <w:rsid w:val="000C09E6"/>
    <w:rsid w:val="000D1E7E"/>
    <w:rsid w:val="001C60CE"/>
    <w:rsid w:val="003B478A"/>
    <w:rsid w:val="003D181C"/>
    <w:rsid w:val="00417CC4"/>
    <w:rsid w:val="004341AE"/>
    <w:rsid w:val="00452A44"/>
    <w:rsid w:val="00476BFC"/>
    <w:rsid w:val="005477DB"/>
    <w:rsid w:val="00584B8E"/>
    <w:rsid w:val="006902BB"/>
    <w:rsid w:val="00970D18"/>
    <w:rsid w:val="00A509B6"/>
    <w:rsid w:val="00AD3C4E"/>
    <w:rsid w:val="00AE1266"/>
    <w:rsid w:val="00C6279E"/>
    <w:rsid w:val="00CE6088"/>
    <w:rsid w:val="00DD3B11"/>
    <w:rsid w:val="00DF2F9B"/>
    <w:rsid w:val="00EB69B3"/>
    <w:rsid w:val="00F021E0"/>
    <w:rsid w:val="00F67AB3"/>
    <w:rsid w:val="00FB4635"/>
    <w:rsid w:val="00FD2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C63708-E4FF-49FF-9E47-DE564D785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76BF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odsazen">
    <w:name w:val="Body Text Indent"/>
    <w:basedOn w:val="Normln"/>
    <w:link w:val="ZkladntextodsazenChar"/>
    <w:semiHidden/>
    <w:rsid w:val="00476BFC"/>
    <w:pPr>
      <w:tabs>
        <w:tab w:val="left" w:pos="540"/>
        <w:tab w:val="left" w:pos="3240"/>
        <w:tab w:val="left" w:pos="3780"/>
        <w:tab w:val="left" w:pos="4140"/>
        <w:tab w:val="left" w:pos="5940"/>
      </w:tabs>
      <w:spacing w:after="0" w:line="240" w:lineRule="auto"/>
      <w:ind w:left="540" w:hanging="540"/>
    </w:pPr>
    <w:rPr>
      <w:rFonts w:ascii="Times New Roman" w:hAnsi="Times New Roman"/>
      <w:sz w:val="24"/>
      <w:szCs w:val="24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476BFC"/>
    <w:rPr>
      <w:rFonts w:ascii="Times New Roman" w:eastAsia="Calibri" w:hAnsi="Times New Roman" w:cs="Times New Roman"/>
      <w:sz w:val="24"/>
      <w:szCs w:val="24"/>
    </w:rPr>
  </w:style>
  <w:style w:type="paragraph" w:styleId="Zkladntext">
    <w:name w:val="Body Text"/>
    <w:basedOn w:val="Normln"/>
    <w:link w:val="ZkladntextChar"/>
    <w:semiHidden/>
    <w:rsid w:val="00476BFC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476BFC"/>
    <w:rPr>
      <w:rFonts w:ascii="Times New Roman" w:eastAsia="Calibri" w:hAnsi="Times New Roman" w:cs="Times New Roman"/>
      <w:sz w:val="24"/>
      <w:szCs w:val="24"/>
    </w:rPr>
  </w:style>
  <w:style w:type="paragraph" w:customStyle="1" w:styleId="Default">
    <w:name w:val="Default"/>
    <w:rsid w:val="00A509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5477D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5477DB"/>
    <w:rPr>
      <w:rFonts w:ascii="Calibri" w:eastAsia="Calibri" w:hAnsi="Calibri" w:cs="Times New Roman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6902BB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6902BB"/>
    <w:rPr>
      <w:rFonts w:ascii="Calibri" w:eastAsia="Calibri" w:hAnsi="Calibri" w:cs="Times New Roman"/>
      <w:sz w:val="16"/>
      <w:szCs w:val="16"/>
    </w:rPr>
  </w:style>
  <w:style w:type="paragraph" w:styleId="Bezmezer">
    <w:name w:val="No Spacing"/>
    <w:uiPriority w:val="1"/>
    <w:qFormat/>
    <w:rsid w:val="00F021E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306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Helešicová Simona</dc:creator>
  <cp:keywords/>
  <dc:description/>
  <cp:lastModifiedBy>Helešicová Simona</cp:lastModifiedBy>
  <cp:revision>25</cp:revision>
  <dcterms:created xsi:type="dcterms:W3CDTF">2015-06-08T11:11:00Z</dcterms:created>
  <dcterms:modified xsi:type="dcterms:W3CDTF">2015-06-23T12:30:00Z</dcterms:modified>
</cp:coreProperties>
</file>